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611898" w:rsidTr="002C19E5">
        <w:tc>
          <w:tcPr>
            <w:tcW w:w="3227" w:type="dxa"/>
          </w:tcPr>
          <w:p w:rsidR="00611898" w:rsidRDefault="00D964A4" w:rsidP="002C19E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64A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 </w:t>
            </w:r>
            <w:r w:rsidR="002C19E5" w:rsidRPr="00D9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</w:p>
          <w:p w:rsidR="002C19E5" w:rsidRPr="002C19E5" w:rsidRDefault="00F3169E" w:rsidP="002C19E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PHƯỜNG NAM HỒNG </w:t>
            </w:r>
          </w:p>
          <w:p w:rsidR="002C19E5" w:rsidRDefault="00C47ED2" w:rsidP="002C19E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2C9203" wp14:editId="1CEA6FE2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45085</wp:posOffset>
                      </wp:positionV>
                      <wp:extent cx="819150" cy="0"/>
                      <wp:effectExtent l="0" t="0" r="19050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7.25pt;margin-top:3.55pt;width:6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Ar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/NskU1B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"/>
                  </w:pict>
                </mc:Fallback>
              </mc:AlternateContent>
            </w:r>
          </w:p>
          <w:p w:rsidR="002C19E5" w:rsidRDefault="002C19E5" w:rsidP="00310F14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Số: </w:t>
            </w:r>
            <w:r w:rsidR="006E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D96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/BC-UBND</w:t>
            </w:r>
          </w:p>
        </w:tc>
        <w:tc>
          <w:tcPr>
            <w:tcW w:w="5953" w:type="dxa"/>
          </w:tcPr>
          <w:p w:rsidR="00611898" w:rsidRDefault="002C19E5" w:rsidP="002C19E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9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2C19E5" w:rsidRPr="002C19E5" w:rsidRDefault="002C19E5" w:rsidP="002C19E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– Tự do – Hạnh phúc</w:t>
            </w:r>
          </w:p>
          <w:p w:rsidR="002C19E5" w:rsidRDefault="00AE2B44" w:rsidP="002C19E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A9348" wp14:editId="634124D8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27940</wp:posOffset>
                      </wp:positionV>
                      <wp:extent cx="1971675" cy="0"/>
                      <wp:effectExtent l="9525" t="9525" r="952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2.6pt;margin-top:2.2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gZ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"/>
                  </w:pict>
                </mc:Fallback>
              </mc:AlternateContent>
            </w:r>
          </w:p>
          <w:p w:rsidR="002C19E5" w:rsidRPr="000970D9" w:rsidRDefault="00F3169E" w:rsidP="000970D9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Hồng</w:t>
            </w:r>
            <w:r w:rsidR="002C19E5" w:rsidRPr="00D9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ngày  </w:t>
            </w:r>
            <w:r w:rsidR="00097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30</w:t>
            </w:r>
            <w:r w:rsidR="002C19E5" w:rsidRPr="00D9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 tháng </w:t>
            </w:r>
            <w:r w:rsidR="006E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8</w:t>
            </w:r>
            <w:r w:rsidR="002C19E5" w:rsidRPr="00D9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097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D964A4" w:rsidRPr="00D964A4" w:rsidRDefault="00D964A4" w:rsidP="00D96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D964A4" w:rsidRPr="00D964A4" w:rsidRDefault="00D964A4" w:rsidP="00D964A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 CÁO</w:t>
      </w:r>
    </w:p>
    <w:p w:rsidR="00D964A4" w:rsidRPr="000970D9" w:rsidRDefault="00D964A4" w:rsidP="00D964A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Pr="00D9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huyết minh </w:t>
      </w:r>
      <w:r w:rsidR="008E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ước thực hiện thu - chi</w:t>
      </w:r>
      <w:r w:rsidRPr="00D9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ngân sách </w:t>
      </w:r>
      <w:r w:rsidR="008E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tháng đầu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</w:t>
      </w:r>
      <w:r w:rsidRPr="00D9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Pr="00D9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09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</w:p>
    <w:p w:rsidR="00D964A4" w:rsidRPr="00D964A4" w:rsidRDefault="00AE2B44" w:rsidP="00D96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24765</wp:posOffset>
                </wp:positionV>
                <wp:extent cx="15335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0.7pt;margin-top:1.9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f0Gw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"/>
            </w:pict>
          </mc:Fallback>
        </mc:AlternateContent>
      </w:r>
      <w:r w:rsidR="00D964A4"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64A4" w:rsidRPr="005F7C2D" w:rsidRDefault="00D964A4" w:rsidP="00336186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Luật Ngân sách Nhà nước ngày 25/6/2015;</w:t>
      </w:r>
    </w:p>
    <w:p w:rsidR="00D964A4" w:rsidRPr="005F7C2D" w:rsidRDefault="00D964A4" w:rsidP="00336186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Nghị định số 163/2016/NĐ-CP ngày 21/12/2016 của Chính phủ quy định chi tiết và hướng dẫn thi hành Luật Ngân sách Nhà nước;</w:t>
      </w:r>
    </w:p>
    <w:p w:rsidR="00D964A4" w:rsidRPr="005F7C2D" w:rsidRDefault="00D964A4" w:rsidP="00336186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Nghị định số 31/2017/NĐ-CP ngày 23/3/2017 của Chính phủ Ban hành quy chế lập, thẩm tra, quyết định kế hoạch tài chính 05 năm địa phương, kế hoạch tài chính ngân sách nhà nước 3 năm địa phương, dự toán và phân bổ ngân sách địa phương, phê chuẩn quyết toán ngân sách địa phương hàng năm;</w:t>
      </w:r>
    </w:p>
    <w:p w:rsidR="00D964A4" w:rsidRPr="005F7C2D" w:rsidRDefault="00D964A4" w:rsidP="00336186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Thông tư số 342/2016/TT-BTC ngày 30/12/2016 của Bộ Tài chính quy định chi tiết và hướng dẫn thi hành một số điều của Nghị định số 163/2016/NĐ-CP ngày 21/12/2016 của Chính phủ quy định chi tiết và hướng dẫn thi hành Luật Ngân sách Nhà nước;</w:t>
      </w:r>
    </w:p>
    <w:p w:rsidR="0014600E" w:rsidRPr="005F7C2D" w:rsidRDefault="0014600E" w:rsidP="0014600E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C2D">
        <w:rPr>
          <w:rFonts w:ascii="Times New Roman" w:hAnsi="Times New Roman" w:cs="Times New Roman"/>
          <w:sz w:val="28"/>
          <w:szCs w:val="28"/>
        </w:rPr>
        <w:t>Căn cứ Thông tư số 343/2016/TT-BTC ngày 30/12/2016 của Bộ Tài chính Hướng dẫn thực hiện công khai ngân sách nhà nước đối với các cấp ngân sách;</w:t>
      </w:r>
    </w:p>
    <w:p w:rsidR="005F7C2D" w:rsidRPr="005F7C2D" w:rsidRDefault="005F7C2D" w:rsidP="005F7C2D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7C2D">
        <w:rPr>
          <w:rFonts w:ascii="Times New Roman" w:hAnsi="Times New Roman" w:cs="Times New Roman"/>
          <w:sz w:val="28"/>
          <w:szCs w:val="28"/>
          <w:lang w:val="nl-NL"/>
        </w:rPr>
        <w:t>Thực hiện</w:t>
      </w:r>
      <w:r w:rsidRPr="005F7C2D">
        <w:rPr>
          <w:rFonts w:ascii="Times New Roman" w:hAnsi="Times New Roman" w:cs="Times New Roman"/>
          <w:sz w:val="28"/>
          <w:szCs w:val="28"/>
          <w:lang w:val="nl-NL"/>
        </w:rPr>
        <w:t xml:space="preserve"> Quyết định số 49/QĐ-UBND ngày 08/01/2021 của UBND Thị xã Hồng Lĩnh về việc giao dự toán thu, chi ngân sách năm 2021 cho UBND Phường Nam Hồng;</w:t>
      </w:r>
    </w:p>
    <w:p w:rsidR="005F7C2D" w:rsidRPr="005F7C2D" w:rsidRDefault="005F7C2D" w:rsidP="005F7C2D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7C2D">
        <w:rPr>
          <w:rFonts w:ascii="Times New Roman" w:hAnsi="Times New Roman" w:cs="Times New Roman"/>
          <w:sz w:val="28"/>
          <w:szCs w:val="28"/>
          <w:lang w:val="nl-NL"/>
        </w:rPr>
        <w:t>Thực hiện</w:t>
      </w:r>
      <w:r w:rsidRPr="005F7C2D">
        <w:rPr>
          <w:rFonts w:ascii="Times New Roman" w:hAnsi="Times New Roman" w:cs="Times New Roman"/>
          <w:sz w:val="28"/>
          <w:szCs w:val="28"/>
          <w:lang w:val="nl-NL"/>
        </w:rPr>
        <w:t xml:space="preserve"> Nghị quyết số 46/NQ-HĐND ngày 05 tháng 01 năm 2021 của HĐND phường về việc phân bổ dự toán thu chi ngân sách năm 2021,</w:t>
      </w:r>
    </w:p>
    <w:p w:rsidR="00D964A4" w:rsidRPr="005F7C2D" w:rsidRDefault="00D964A4" w:rsidP="00336186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Ủy ban nhân dân </w:t>
      </w:r>
      <w:r w:rsidR="00F3169E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đã </w:t>
      </w:r>
      <w:r w:rsidR="004D54EF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ước </w:t>
      </w:r>
      <w:r w:rsidR="008E0A3F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thực hiện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thu, chi ngân sách </w:t>
      </w:r>
      <w:r w:rsidR="00F3169E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r w:rsidR="008E0A3F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tháng  đầu 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năm 202</w:t>
      </w:r>
      <w:r w:rsid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trình Hội đồng nhân dân </w:t>
      </w:r>
      <w:r w:rsidR="00F3169E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thông qua tại kỳ họp </w:t>
      </w:r>
      <w:r w:rsidR="004D54EF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thứ </w:t>
      </w:r>
      <w:r w:rsid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hai</w:t>
      </w:r>
      <w:r w:rsidR="004D54EF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khoán V</w:t>
      </w:r>
      <w:r w:rsid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4D54EF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ngày </w:t>
      </w:r>
      <w:r w:rsid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03/8/2021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Nay Ủy ban nhân dân </w:t>
      </w:r>
      <w:r w:rsidR="00F3169E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thực hiện công khai số liệu </w:t>
      </w:r>
      <w:r w:rsidR="004D54EF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ước thực hiện thu, chi ngân sách và thuyết minh số liệu ước thực hiện thu, chi ngân sách năm 202</w:t>
      </w:r>
      <w:r w:rsid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4D54EF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ngân sách như sau:  </w:t>
      </w:r>
    </w:p>
    <w:p w:rsidR="00D964A4" w:rsidRPr="005F7C2D" w:rsidRDefault="00D964A4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Tổng thu ngân sách </w:t>
      </w:r>
      <w:r w:rsidR="00EA2B9C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nhà nước trên địa bàn</w:t>
      </w:r>
      <w:r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22.330.010</w:t>
      </w:r>
      <w:r w:rsidR="00EA2B9C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nghìn</w:t>
      </w:r>
      <w:r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đồng</w:t>
      </w:r>
    </w:p>
    <w:p w:rsidR="00C86DEA" w:rsidRPr="005F7C2D" w:rsidRDefault="00D964A4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Thu ngân sách </w:t>
      </w:r>
      <w:r w:rsidR="00EA2B9C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 phương</w:t>
      </w:r>
      <w:r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F36A8E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15.312.451</w:t>
      </w:r>
      <w:r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EA2B9C"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nghìn</w:t>
      </w:r>
      <w:r w:rsidR="00F36A8E"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đồng.</w:t>
      </w:r>
    </w:p>
    <w:p w:rsidR="00EA2B9C" w:rsidRPr="005F7C2D" w:rsidRDefault="00EA2B9C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964A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Trong đó: </w:t>
      </w:r>
    </w:p>
    <w:p w:rsidR="005F5CE4" w:rsidRPr="005F7C2D" w:rsidRDefault="005F5CE4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Thu các khoản thu theo tỷ lệ:         </w:t>
      </w:r>
      <w:r w:rsidR="006E0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790.541</w:t>
      </w:r>
      <w:r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nghìn đồng </w:t>
      </w:r>
    </w:p>
    <w:p w:rsidR="006E34DF" w:rsidRPr="005F7C2D" w:rsidRDefault="00D964A4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Thu điều tiết </w:t>
      </w:r>
      <w:r w:rsidR="00EA2B9C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100 %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:                                </w:t>
      </w:r>
      <w:r w:rsid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136.736</w:t>
      </w:r>
      <w:r w:rsidR="00EA2B9C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nghìn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đồng</w:t>
      </w:r>
      <w:r w:rsidR="00B1327B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2B9C" w:rsidRPr="005F7C2D" w:rsidRDefault="00EA2B9C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 Phí lệ phí: </w:t>
      </w:r>
      <w:r w:rsidR="009B6DF3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B6DF3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B6DF3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B6DF3" w:rsidRP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="00C86DEA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26.762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nghìn đồng.</w:t>
      </w:r>
    </w:p>
    <w:p w:rsidR="00C86DEA" w:rsidRPr="005F7C2D" w:rsidRDefault="00C86DEA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Thu </w:t>
      </w:r>
      <w:r w:rsid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đền bù khi nhà nước thu hồi đất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97.024 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nghìn đồng.</w:t>
      </w:r>
    </w:p>
    <w:p w:rsidR="00EA2B9C" w:rsidRPr="005F7C2D" w:rsidRDefault="00EA2B9C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Thu khác ngân sách: </w:t>
      </w:r>
      <w:r w:rsidR="00336186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6186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6186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B6DF3" w:rsidRP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12.950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nghìn đồng.</w:t>
      </w:r>
    </w:p>
    <w:p w:rsidR="00D964A4" w:rsidRPr="005F7C2D" w:rsidRDefault="00D964A4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Thu </w:t>
      </w:r>
      <w:r w:rsidR="00EA2B9C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phân chia theo tỷ lệ:</w:t>
      </w:r>
      <w:r w:rsidR="00EA2B9C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2B9C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6DEA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D2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653.805</w:t>
      </w:r>
      <w:r w:rsidR="008B4A5B" w:rsidRP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A2B9C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nghìn đồng</w:t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B9C" w:rsidRPr="005F7C2D" w:rsidRDefault="00EA2B9C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Thuế sử dụng đất phi nông nghiệp: </w:t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FD2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75.357</w:t>
      </w:r>
      <w:r w:rsidR="008715FF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nghìn đồng</w:t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15FF" w:rsidRPr="005F7C2D" w:rsidRDefault="008715FF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Lệ phí môn bài từ cá nhân, hộ kinh doanh: </w:t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C86DEA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D2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30.000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nghìn đồng</w:t>
      </w:r>
    </w:p>
    <w:p w:rsidR="008715FF" w:rsidRPr="005F7C2D" w:rsidRDefault="008715FF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Lệ phí trước bạ: </w:t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6DEA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D2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343.821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nghìn đồng</w:t>
      </w:r>
    </w:p>
    <w:p w:rsidR="008715FF" w:rsidRPr="005F7C2D" w:rsidRDefault="008715FF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Thuế VAT – TNDN: </w:t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4B1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FD2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197.973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nghìn đồng</w:t>
      </w:r>
    </w:p>
    <w:p w:rsidR="00C86DEA" w:rsidRPr="005F7C2D" w:rsidRDefault="00C86DEA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Thuế tiêu thụ đặc biệt:                                    </w:t>
      </w:r>
      <w:r w:rsidR="008B4A5B" w:rsidRP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2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6.654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nghìn đồng</w:t>
      </w:r>
    </w:p>
    <w:p w:rsidR="00C86DEA" w:rsidRPr="005F7C2D" w:rsidRDefault="00C86DEA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Thuế tài nguyên:                                              </w:t>
      </w:r>
      <w:r w:rsidR="008B4A5B" w:rsidRP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FD2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0 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nghìn đồng</w:t>
      </w:r>
    </w:p>
    <w:p w:rsidR="00C86DEA" w:rsidRPr="005F7C2D" w:rsidRDefault="005F5CE4" w:rsidP="00611898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D964A4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Các khoản bổ sung </w:t>
      </w:r>
      <w:r w:rsidR="008715FF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từ </w:t>
      </w:r>
      <w:r w:rsidR="00D964A4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ngân sách</w:t>
      </w:r>
      <w:r w:rsidR="008715FF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cấp trên</w:t>
      </w:r>
      <w:r w:rsidR="00611898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 </w:t>
      </w:r>
      <w:r w:rsidR="006E0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14.283.048</w:t>
      </w:r>
      <w:r w:rsidR="00D964A4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6186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nghìn</w:t>
      </w:r>
      <w:r w:rsidR="00D964A4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đồng</w:t>
      </w:r>
      <w:r w:rsidR="00C86DEA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D964A4" w:rsidRPr="005F7C2D" w:rsidRDefault="00C86DEA" w:rsidP="00611898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 đó:</w:t>
      </w:r>
    </w:p>
    <w:p w:rsidR="00D964A4" w:rsidRPr="005F7C2D" w:rsidRDefault="00D964A4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Bổ sung cân đối từ ngân sách </w:t>
      </w:r>
      <w:r w:rsidR="008715FF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thị xã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                       </w:t>
      </w:r>
      <w:r w:rsidR="006E0E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1.900.000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523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nghìn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đồng</w:t>
      </w:r>
    </w:p>
    <w:p w:rsidR="00D964A4" w:rsidRPr="005F7C2D" w:rsidRDefault="00D964A4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Bổ sung có mục tiêu từ ngân sách </w:t>
      </w:r>
      <w:r w:rsidR="00124523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thị xã</w:t>
      </w:r>
      <w:r w:rsidR="00C86DEA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           </w:t>
      </w:r>
      <w:r w:rsidR="006E0E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12.383.048</w:t>
      </w:r>
      <w:r w:rsidR="00C86DEA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523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nghìn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đồng</w:t>
      </w:r>
    </w:p>
    <w:p w:rsidR="00C86DEA" w:rsidRPr="005F7C2D" w:rsidRDefault="005F5CE4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C86DEA"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Thu </w:t>
      </w:r>
      <w:r w:rsidR="00406DB9"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chuyển nguồn</w:t>
      </w:r>
      <w:r w:rsidR="00C86DEA"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         </w:t>
      </w:r>
      <w:r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C86DEA"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406DB9"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   </w:t>
      </w:r>
      <w:r w:rsidR="006E0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238.862</w:t>
      </w:r>
      <w:r w:rsidR="00406DB9"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86DEA" w:rsidRPr="005F7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nghìn đồng</w:t>
      </w:r>
    </w:p>
    <w:p w:rsidR="00502F45" w:rsidRPr="005F7C2D" w:rsidRDefault="00D964A4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Tổng chi ngân sách </w:t>
      </w:r>
      <w:r w:rsidR="00B1327B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6E0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14.182.584</w:t>
      </w:r>
      <w:r w:rsidR="00611898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nghìn</w:t>
      </w:r>
      <w:r w:rsidR="00B1327B"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đồng</w:t>
      </w:r>
      <w:r w:rsidR="00611898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2F45" w:rsidRPr="005F7C2D" w:rsidRDefault="00502F45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Trong đó:</w:t>
      </w:r>
    </w:p>
    <w:p w:rsidR="00D964A4" w:rsidRPr="005F7C2D" w:rsidRDefault="00D964A4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- Chi đầu tư phát triển:                                              </w:t>
      </w:r>
      <w:r w:rsidR="006E0E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11.287.744</w:t>
      </w:r>
      <w:r w:rsidR="00C106BA" w:rsidRPr="005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1898"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>nghìn</w:t>
      </w: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đồng</w:t>
      </w:r>
    </w:p>
    <w:p w:rsidR="00D964A4" w:rsidRPr="00D964A4" w:rsidRDefault="00D964A4" w:rsidP="0033618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Chi thường xuyên:                                                  </w:t>
      </w:r>
      <w:r w:rsidR="006E0E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2.894.840</w:t>
      </w:r>
      <w:bookmarkStart w:id="0" w:name="_GoBack"/>
      <w:bookmarkEnd w:id="0"/>
      <w:r w:rsidR="00611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</w:t>
      </w:r>
      <w:r w:rsidR="00611898" w:rsidRPr="00611898">
        <w:rPr>
          <w:rFonts w:ascii="Times New Roman" w:eastAsia="Times New Roman" w:hAnsi="Times New Roman" w:cs="Times New Roman"/>
          <w:color w:val="000000"/>
          <w:sz w:val="28"/>
          <w:szCs w:val="28"/>
        </w:rPr>
        <w:t>ìn</w:t>
      </w:r>
      <w:r w:rsidR="00611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</w:p>
    <w:p w:rsidR="00527941" w:rsidRDefault="00611898" w:rsidP="00611898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527941" w:rsidTr="00527941">
        <w:tc>
          <w:tcPr>
            <w:tcW w:w="4810" w:type="dxa"/>
          </w:tcPr>
          <w:p w:rsidR="00527941" w:rsidRPr="00611898" w:rsidRDefault="00527941" w:rsidP="00527941">
            <w:pPr>
              <w:spacing w:line="240" w:lineRule="exact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611898">
              <w:rPr>
                <w:rFonts w:ascii="Times New Roman" w:eastAsia="Calibri" w:hAnsi="Times New Roman" w:cs="Times New Roman"/>
                <w:b/>
                <w:i/>
                <w:sz w:val="24"/>
              </w:rPr>
              <w:t>Nơi nhân:</w:t>
            </w:r>
          </w:p>
          <w:p w:rsidR="00527941" w:rsidRDefault="00527941" w:rsidP="0052794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11898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611898">
              <w:rPr>
                <w:rFonts w:ascii="Times New Roman" w:hAnsi="Times New Roman" w:cs="Times New Roman"/>
              </w:rPr>
              <w:t>TTr Đảng ủy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941" w:rsidRDefault="00527941" w:rsidP="00527941">
            <w:pPr>
              <w:spacing w:line="240" w:lineRule="exac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11898">
              <w:rPr>
                <w:rFonts w:ascii="Times New Roman" w:hAnsi="Times New Roman" w:cs="Times New Roman"/>
              </w:rPr>
              <w:t>TTr HĐND;</w:t>
            </w:r>
          </w:p>
          <w:p w:rsidR="00527941" w:rsidRDefault="00527941" w:rsidP="00527941">
            <w:pPr>
              <w:spacing w:line="240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611898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611898">
              <w:rPr>
                <w:rFonts w:ascii="Times New Roman" w:hAnsi="Times New Roman" w:cs="Times New Roman"/>
              </w:rPr>
              <w:t>TTr UBMTTQ;</w:t>
            </w:r>
          </w:p>
          <w:p w:rsidR="00527941" w:rsidRDefault="00527941" w:rsidP="00527941">
            <w:pPr>
              <w:spacing w:line="240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611898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611898">
              <w:rPr>
                <w:rFonts w:ascii="Times New Roman" w:hAnsi="Times New Roman" w:cs="Times New Roman"/>
              </w:rPr>
              <w:t xml:space="preserve">Đài phát thanh </w:t>
            </w:r>
            <w:r>
              <w:rPr>
                <w:rFonts w:ascii="Times New Roman" w:hAnsi="Times New Roman" w:cs="Times New Roman"/>
              </w:rPr>
              <w:t>phường</w:t>
            </w:r>
            <w:r w:rsidRPr="00611898">
              <w:rPr>
                <w:rFonts w:ascii="Times New Roman" w:hAnsi="Times New Roman" w:cs="Times New Roman"/>
              </w:rPr>
              <w:t>;</w:t>
            </w:r>
          </w:p>
          <w:p w:rsidR="00527941" w:rsidRPr="00611898" w:rsidRDefault="00527941" w:rsidP="00527941">
            <w:pPr>
              <w:spacing w:line="240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611898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611898">
              <w:rPr>
                <w:rFonts w:ascii="Times New Roman" w:hAnsi="Times New Roman" w:cs="Times New Roman"/>
              </w:rPr>
              <w:t>Lưu: VT, TC.</w:t>
            </w:r>
          </w:p>
          <w:p w:rsidR="00527941" w:rsidRDefault="00527941" w:rsidP="00611898">
            <w:pPr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</w:tcPr>
          <w:p w:rsidR="00527941" w:rsidRDefault="00527941" w:rsidP="00527941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11898">
              <w:rPr>
                <w:rFonts w:ascii="Times New Roman" w:eastAsia="Calibri" w:hAnsi="Times New Roman" w:cs="Times New Roman"/>
                <w:b/>
                <w:sz w:val="28"/>
              </w:rPr>
              <w:t>TM. ỦY BAN NHÂN DÂN</w:t>
            </w:r>
          </w:p>
          <w:p w:rsidR="00527941" w:rsidRPr="00611898" w:rsidRDefault="00527941" w:rsidP="00527941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11898">
              <w:rPr>
                <w:rFonts w:ascii="Times New Roman" w:eastAsia="Calibri" w:hAnsi="Times New Roman" w:cs="Times New Roman"/>
                <w:b/>
                <w:sz w:val="28"/>
              </w:rPr>
              <w:t>CHỦ TỊCH</w:t>
            </w:r>
          </w:p>
          <w:p w:rsidR="00527941" w:rsidRDefault="00527941" w:rsidP="00527941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527941" w:rsidRDefault="00527941" w:rsidP="00527941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527941" w:rsidRDefault="00527941" w:rsidP="00527941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527941" w:rsidRPr="00611898" w:rsidRDefault="00527941" w:rsidP="00527941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527941" w:rsidRPr="00C106BA" w:rsidRDefault="00C106BA" w:rsidP="00527941">
            <w:pPr>
              <w:spacing w:line="360" w:lineRule="exact"/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Trần Quốc Chế</w:t>
            </w:r>
          </w:p>
          <w:p w:rsidR="00527941" w:rsidRDefault="00527941" w:rsidP="00611898">
            <w:pPr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1898" w:rsidRDefault="00611898" w:rsidP="00527941">
      <w:pPr>
        <w:shd w:val="clear" w:color="auto" w:fill="FFFFFF"/>
        <w:spacing w:before="120" w:after="120" w:line="300" w:lineRule="atLeast"/>
        <w:jc w:val="both"/>
      </w:pPr>
    </w:p>
    <w:sectPr w:rsidR="00611898" w:rsidSect="000970D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0F76"/>
    <w:multiLevelType w:val="hybridMultilevel"/>
    <w:tmpl w:val="ADF05674"/>
    <w:lvl w:ilvl="0" w:tplc="7DD011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94619"/>
    <w:multiLevelType w:val="hybridMultilevel"/>
    <w:tmpl w:val="5916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F3DD1"/>
    <w:multiLevelType w:val="hybridMultilevel"/>
    <w:tmpl w:val="5916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A4"/>
    <w:rsid w:val="000970D9"/>
    <w:rsid w:val="000D4B62"/>
    <w:rsid w:val="0011059A"/>
    <w:rsid w:val="00124523"/>
    <w:rsid w:val="0013771C"/>
    <w:rsid w:val="0014600E"/>
    <w:rsid w:val="00187088"/>
    <w:rsid w:val="002A410E"/>
    <w:rsid w:val="002C19E5"/>
    <w:rsid w:val="00310F14"/>
    <w:rsid w:val="00336186"/>
    <w:rsid w:val="00406DB9"/>
    <w:rsid w:val="004D54EF"/>
    <w:rsid w:val="00502F45"/>
    <w:rsid w:val="00525A05"/>
    <w:rsid w:val="00527941"/>
    <w:rsid w:val="0058227E"/>
    <w:rsid w:val="005A4875"/>
    <w:rsid w:val="005B1F1F"/>
    <w:rsid w:val="005F5CE4"/>
    <w:rsid w:val="005F7C2D"/>
    <w:rsid w:val="00611898"/>
    <w:rsid w:val="006126F2"/>
    <w:rsid w:val="00631C72"/>
    <w:rsid w:val="006E0E4B"/>
    <w:rsid w:val="006E34DF"/>
    <w:rsid w:val="00724B14"/>
    <w:rsid w:val="008715FF"/>
    <w:rsid w:val="008B4A5B"/>
    <w:rsid w:val="008E0A3F"/>
    <w:rsid w:val="00956123"/>
    <w:rsid w:val="00990F19"/>
    <w:rsid w:val="009A4B64"/>
    <w:rsid w:val="009B6DF3"/>
    <w:rsid w:val="00A77236"/>
    <w:rsid w:val="00AD77FF"/>
    <w:rsid w:val="00AE2B44"/>
    <w:rsid w:val="00AE3A03"/>
    <w:rsid w:val="00B1327B"/>
    <w:rsid w:val="00C04844"/>
    <w:rsid w:val="00C106BA"/>
    <w:rsid w:val="00C47ED2"/>
    <w:rsid w:val="00C86DEA"/>
    <w:rsid w:val="00CA0B51"/>
    <w:rsid w:val="00D72BB9"/>
    <w:rsid w:val="00D964A4"/>
    <w:rsid w:val="00DD218D"/>
    <w:rsid w:val="00DE03CF"/>
    <w:rsid w:val="00EA2B9C"/>
    <w:rsid w:val="00F3169E"/>
    <w:rsid w:val="00F36A8E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6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64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964A4"/>
    <w:rPr>
      <w:color w:val="0000FF"/>
      <w:u w:val="single"/>
    </w:rPr>
  </w:style>
  <w:style w:type="paragraph" w:customStyle="1" w:styleId="intro">
    <w:name w:val="intro"/>
    <w:basedOn w:val="Normal"/>
    <w:rsid w:val="00D9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9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4A4"/>
    <w:rPr>
      <w:b/>
      <w:bCs/>
    </w:rPr>
  </w:style>
  <w:style w:type="character" w:styleId="Emphasis">
    <w:name w:val="Emphasis"/>
    <w:basedOn w:val="DefaultParagraphFont"/>
    <w:uiPriority w:val="20"/>
    <w:qFormat/>
    <w:rsid w:val="00D964A4"/>
    <w:rPr>
      <w:i/>
      <w:iCs/>
    </w:rPr>
  </w:style>
  <w:style w:type="paragraph" w:styleId="ListParagraph">
    <w:name w:val="List Paragraph"/>
    <w:basedOn w:val="Normal"/>
    <w:uiPriority w:val="34"/>
    <w:qFormat/>
    <w:rsid w:val="00B1327B"/>
    <w:pPr>
      <w:ind w:left="720"/>
      <w:contextualSpacing/>
    </w:pPr>
  </w:style>
  <w:style w:type="table" w:styleId="TableGrid">
    <w:name w:val="Table Grid"/>
    <w:basedOn w:val="TableNormal"/>
    <w:uiPriority w:val="59"/>
    <w:rsid w:val="00611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6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64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964A4"/>
    <w:rPr>
      <w:color w:val="0000FF"/>
      <w:u w:val="single"/>
    </w:rPr>
  </w:style>
  <w:style w:type="paragraph" w:customStyle="1" w:styleId="intro">
    <w:name w:val="intro"/>
    <w:basedOn w:val="Normal"/>
    <w:rsid w:val="00D9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9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4A4"/>
    <w:rPr>
      <w:b/>
      <w:bCs/>
    </w:rPr>
  </w:style>
  <w:style w:type="character" w:styleId="Emphasis">
    <w:name w:val="Emphasis"/>
    <w:basedOn w:val="DefaultParagraphFont"/>
    <w:uiPriority w:val="20"/>
    <w:qFormat/>
    <w:rsid w:val="00D964A4"/>
    <w:rPr>
      <w:i/>
      <w:iCs/>
    </w:rPr>
  </w:style>
  <w:style w:type="paragraph" w:styleId="ListParagraph">
    <w:name w:val="List Paragraph"/>
    <w:basedOn w:val="Normal"/>
    <w:uiPriority w:val="34"/>
    <w:qFormat/>
    <w:rsid w:val="00B1327B"/>
    <w:pPr>
      <w:ind w:left="720"/>
      <w:contextualSpacing/>
    </w:pPr>
  </w:style>
  <w:style w:type="table" w:styleId="TableGrid">
    <w:name w:val="Table Grid"/>
    <w:basedOn w:val="TableNormal"/>
    <w:uiPriority w:val="59"/>
    <w:rsid w:val="00611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ED552-1DF5-434F-ABDF-C99B59883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E1F83-BF7D-4483-A5FC-E3CAF5B76C46}"/>
</file>

<file path=customXml/itemProps3.xml><?xml version="1.0" encoding="utf-8"?>
<ds:datastoreItem xmlns:ds="http://schemas.openxmlformats.org/officeDocument/2006/customXml" ds:itemID="{A369F8AC-D0E4-48FC-8BF7-6CD44A9C9789}"/>
</file>

<file path=customXml/itemProps4.xml><?xml version="1.0" encoding="utf-8"?>
<ds:datastoreItem xmlns:ds="http://schemas.openxmlformats.org/officeDocument/2006/customXml" ds:itemID="{E3C91EBB-22A9-41D9-9B93-FD209667F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13</cp:revision>
  <cp:lastPrinted>2020-12-04T09:23:00Z</cp:lastPrinted>
  <dcterms:created xsi:type="dcterms:W3CDTF">2020-12-04T09:12:00Z</dcterms:created>
  <dcterms:modified xsi:type="dcterms:W3CDTF">2021-08-30T08:14:00Z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